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2" w:after="120" w:line="240" w:lineRule="auto"/>
        <w:outlineLvl w:val="0"/>
        <w:rPr>
          <w:rFonts w:ascii="Arial" w:hAnsi="Arial" w:eastAsia="Times New Roman" w:cs="Arial"/>
          <w:b/>
          <w:bCs/>
          <w:color w:val="000000"/>
          <w:kern w:val="36"/>
          <w:sz w:val="48"/>
          <w:szCs w:val="48"/>
          <w:lang w:eastAsia="ru-RU"/>
        </w:rPr>
      </w:pPr>
      <w:bookmarkStart w:id="0" w:name="_GoBack"/>
      <w:bookmarkEnd w:id="0"/>
      <w:r>
        <w:rPr>
          <w:rFonts w:ascii="Arial" w:hAnsi="Arial" w:eastAsia="Times New Roman" w:cs="Arial"/>
          <w:b/>
          <w:bCs/>
          <w:color w:val="000000"/>
          <w:kern w:val="36"/>
          <w:sz w:val="48"/>
          <w:szCs w:val="48"/>
          <w:lang w:eastAsia="ru-RU"/>
        </w:rPr>
        <w:t>Итоговое сочинение (изложение)</w:t>
      </w:r>
    </w:p>
    <w:p>
      <w:pPr>
        <w:spacing w:after="288" w:line="240" w:lineRule="auto"/>
        <w:jc w:val="both"/>
        <w:rPr>
          <w:rFonts w:ascii="Arial" w:hAnsi="Arial" w:eastAsia="Times New Roman" w:cs="Arial"/>
          <w:color w:val="3B3B3B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color w:val="3B3B3B"/>
          <w:sz w:val="24"/>
          <w:szCs w:val="24"/>
          <w:lang w:eastAsia="ru-RU"/>
        </w:rPr>
        <w:t>2018-2019 учебный год</w:t>
      </w:r>
    </w:p>
    <w:p>
      <w:pPr>
        <w:spacing w:after="288" w:line="240" w:lineRule="auto"/>
        <w:jc w:val="both"/>
        <w:rPr>
          <w:rFonts w:ascii="Arial" w:hAnsi="Arial" w:eastAsia="Times New Roman" w:cs="Arial"/>
          <w:color w:val="3B3B3B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3B3B3B"/>
          <w:sz w:val="24"/>
          <w:szCs w:val="24"/>
          <w:lang w:eastAsia="ru-RU"/>
        </w:rPr>
        <w:t>Министр просвещения РФ О.Ю. Васильева объявила </w:t>
      </w:r>
      <w:r>
        <w:rPr>
          <w:rFonts w:ascii="Arial" w:hAnsi="Arial" w:eastAsia="Times New Roman" w:cs="Arial"/>
          <w:b/>
          <w:bCs/>
          <w:color w:val="3B3B3B"/>
          <w:sz w:val="24"/>
          <w:szCs w:val="24"/>
          <w:lang w:eastAsia="ru-RU"/>
        </w:rPr>
        <w:t>пять направлений тем итогового сочинения на 2018/19 учебный год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hAnsi="Arial" w:eastAsia="Times New Roman" w:cs="Arial"/>
          <w:color w:val="3B3B3B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color w:val="3B3B3B"/>
          <w:sz w:val="24"/>
          <w:szCs w:val="24"/>
          <w:lang w:eastAsia="ru-RU"/>
        </w:rPr>
        <w:t>Отцы и дети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hAnsi="Arial" w:eastAsia="Times New Roman" w:cs="Arial"/>
          <w:color w:val="3B3B3B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color w:val="3B3B3B"/>
          <w:sz w:val="24"/>
          <w:szCs w:val="24"/>
          <w:lang w:eastAsia="ru-RU"/>
        </w:rPr>
        <w:t>Мечта и реальность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hAnsi="Arial" w:eastAsia="Times New Roman" w:cs="Arial"/>
          <w:color w:val="3B3B3B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color w:val="3B3B3B"/>
          <w:sz w:val="24"/>
          <w:szCs w:val="24"/>
          <w:lang w:eastAsia="ru-RU"/>
        </w:rPr>
        <w:t>Месть и великодушие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hAnsi="Arial" w:eastAsia="Times New Roman" w:cs="Arial"/>
          <w:color w:val="3B3B3B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color w:val="3B3B3B"/>
          <w:sz w:val="24"/>
          <w:szCs w:val="24"/>
          <w:lang w:eastAsia="ru-RU"/>
        </w:rPr>
        <w:t>Искусство и ремесло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hAnsi="Arial" w:eastAsia="Times New Roman" w:cs="Arial"/>
          <w:color w:val="3B3B3B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color w:val="3B3B3B"/>
          <w:sz w:val="24"/>
          <w:szCs w:val="24"/>
          <w:lang w:eastAsia="ru-RU"/>
        </w:rPr>
        <w:t>Доброта и жестокость</w:t>
      </w:r>
    </w:p>
    <w:p>
      <w:pPr>
        <w:spacing w:after="288" w:line="240" w:lineRule="auto"/>
        <w:jc w:val="both"/>
        <w:rPr>
          <w:rFonts w:ascii="Arial" w:hAnsi="Arial" w:eastAsia="Times New Roman" w:cs="Arial"/>
          <w:color w:val="3B3B3B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3B3B3B"/>
          <w:sz w:val="24"/>
          <w:szCs w:val="24"/>
          <w:lang w:eastAsia="ru-RU"/>
        </w:rPr>
        <w:t>Как и в предыдущие годы, итоговое сочинение является допуском выпускников к государственной итоговой аттестации. При этом обучающиеся с ограниченными возможностями здоровья вправе выбрать написание изложения. В рамках открытых направлений тем итогового сочинения разрабатываются конкретные темы итогового сочинения (подбираются тексты изложений) для каждого часового пояса отдельно. Конкретные темы итогового сочинения (тексты изложений) доставляются в органы управления образованием на местах в день проведения итогового сочинения (изложения).</w:t>
      </w:r>
    </w:p>
    <w:p>
      <w:pPr>
        <w:spacing w:after="288" w:line="240" w:lineRule="auto"/>
        <w:jc w:val="both"/>
        <w:rPr>
          <w:rFonts w:ascii="Arial" w:hAnsi="Arial" w:eastAsia="Times New Roman" w:cs="Arial"/>
          <w:color w:val="3B3B3B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color w:val="003333"/>
          <w:sz w:val="24"/>
          <w:szCs w:val="24"/>
          <w:lang w:eastAsia="ru-RU"/>
        </w:rPr>
        <w:t>Комментарий к открытым тематическим направлениям 2018/19 учебного года, подготовленный специалистами ФГБНУ «ФИПИ»</w:t>
      </w:r>
    </w:p>
    <w:p>
      <w:pPr>
        <w:spacing w:after="288" w:line="240" w:lineRule="auto"/>
        <w:rPr>
          <w:rFonts w:ascii="Arial" w:hAnsi="Arial" w:eastAsia="Times New Roman" w:cs="Arial"/>
          <w:color w:val="3B3B3B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color w:val="3B3B3B"/>
          <w:sz w:val="24"/>
          <w:szCs w:val="24"/>
          <w:lang w:eastAsia="ru-RU"/>
        </w:rPr>
        <w:t>1. Отцы и дети</w:t>
      </w:r>
    </w:p>
    <w:p>
      <w:pPr>
        <w:spacing w:after="288" w:line="240" w:lineRule="auto"/>
        <w:jc w:val="both"/>
        <w:rPr>
          <w:rFonts w:ascii="Arial" w:hAnsi="Arial" w:eastAsia="Times New Roman" w:cs="Arial"/>
          <w:color w:val="3B3B3B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3B3B3B"/>
          <w:sz w:val="24"/>
          <w:szCs w:val="24"/>
          <w:lang w:eastAsia="ru-RU"/>
        </w:rPr>
        <w:t>Данное направление обращено к вечной проблеме человеческого бытия, связанной с неизбежностью смены поколений, гармоничными и дисгармоничными взаимоотношениями «отцов» и «детей».</w:t>
      </w:r>
      <w:r>
        <w:rPr>
          <w:rFonts w:ascii="Arial" w:hAnsi="Arial" w:eastAsia="Times New Roman" w:cs="Arial"/>
          <w:color w:val="3B3B3B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color w:val="3B3B3B"/>
          <w:sz w:val="24"/>
          <w:szCs w:val="24"/>
          <w:lang w:eastAsia="ru-RU"/>
        </w:rPr>
        <w:t>Эта тема затронута во многих произведениях литературы, где рассматриваются различные типы взаимодействия между представителями разных поколений (от конфликтного противостояния до взаимопонимания и преемственности) и выявляются причины противоборства между ними, а также пути их духовного сближения.</w:t>
      </w:r>
    </w:p>
    <w:p>
      <w:pPr>
        <w:spacing w:after="288" w:line="240" w:lineRule="auto"/>
        <w:rPr>
          <w:rFonts w:ascii="Arial" w:hAnsi="Arial" w:eastAsia="Times New Roman" w:cs="Arial"/>
          <w:color w:val="3B3B3B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color w:val="3B3B3B"/>
          <w:sz w:val="24"/>
          <w:szCs w:val="24"/>
          <w:lang w:eastAsia="ru-RU"/>
        </w:rPr>
        <w:t>2. Мечта и реальность</w:t>
      </w:r>
    </w:p>
    <w:p>
      <w:pPr>
        <w:spacing w:after="288" w:line="240" w:lineRule="auto"/>
        <w:jc w:val="both"/>
        <w:rPr>
          <w:rFonts w:ascii="Arial" w:hAnsi="Arial" w:eastAsia="Times New Roman" w:cs="Arial"/>
          <w:color w:val="3B3B3B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3B3B3B"/>
          <w:sz w:val="24"/>
          <w:szCs w:val="24"/>
          <w:lang w:eastAsia="ru-RU"/>
        </w:rPr>
        <w:t>Понятия «мечта» и «реальность» во многом противопоставлены и одновременно тесно связаны, они нацеливают на осмысление различных представлений о мире и смысле жизни, на раздумье о том, как реальность порождает мечту и как мечта человека поднимает его над обыденностью.</w:t>
      </w:r>
      <w:r>
        <w:rPr>
          <w:rFonts w:ascii="Arial" w:hAnsi="Arial" w:eastAsia="Times New Roman" w:cs="Arial"/>
          <w:color w:val="3B3B3B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color w:val="3B3B3B"/>
          <w:sz w:val="24"/>
          <w:szCs w:val="24"/>
          <w:lang w:eastAsia="ru-RU"/>
        </w:rPr>
        <w:t>В литературе немало героев, по-разному относящихся к мечте: одни воодушевлены благородными устремлениями и готовы их воплотить в жизнь, другие оказались в плену прекраснодушных мечтаний, третьи лишены высокой мечты и подчинены низменным целям.</w:t>
      </w:r>
    </w:p>
    <w:p>
      <w:pPr>
        <w:spacing w:after="288" w:line="240" w:lineRule="auto"/>
        <w:rPr>
          <w:rFonts w:ascii="Arial" w:hAnsi="Arial" w:eastAsia="Times New Roman" w:cs="Arial"/>
          <w:color w:val="3B3B3B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color w:val="3B3B3B"/>
          <w:sz w:val="24"/>
          <w:szCs w:val="24"/>
          <w:lang w:eastAsia="ru-RU"/>
        </w:rPr>
        <w:t>3. Месть и великодушие</w:t>
      </w:r>
    </w:p>
    <w:p>
      <w:pPr>
        <w:spacing w:after="288" w:line="240" w:lineRule="auto"/>
        <w:jc w:val="both"/>
        <w:rPr>
          <w:rFonts w:ascii="Arial" w:hAnsi="Arial" w:eastAsia="Times New Roman" w:cs="Arial"/>
          <w:color w:val="3B3B3B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3B3B3B"/>
          <w:sz w:val="24"/>
          <w:szCs w:val="24"/>
          <w:lang w:eastAsia="ru-RU"/>
        </w:rPr>
        <w:t>В рамках данного направления можно рассуждать о диаметрально противоположных проявлениях человеческой натуры, связанных с представлениями о добре и зле, милосердии и жестокости, миролюбии и агрессии.</w:t>
      </w:r>
      <w:r>
        <w:rPr>
          <w:rFonts w:ascii="Arial" w:hAnsi="Arial" w:eastAsia="Times New Roman" w:cs="Arial"/>
          <w:color w:val="3B3B3B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color w:val="3B3B3B"/>
          <w:sz w:val="24"/>
          <w:szCs w:val="24"/>
          <w:lang w:eastAsia="ru-RU"/>
        </w:rPr>
        <w:t>Понятия «месть» и «великодушие» часто оказываются в центре внимания писателей, которые исследуют реакции человека на жизненные вызовы, на поступки других людей, анализируют поведение героев в ситуации нравственного выбора как в личностном, так и в социально-историческом плане.</w:t>
      </w:r>
    </w:p>
    <w:p>
      <w:pPr>
        <w:spacing w:after="288" w:line="240" w:lineRule="auto"/>
        <w:rPr>
          <w:rFonts w:ascii="Arial" w:hAnsi="Arial" w:eastAsia="Times New Roman" w:cs="Arial"/>
          <w:color w:val="3B3B3B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color w:val="3B3B3B"/>
          <w:sz w:val="24"/>
          <w:szCs w:val="24"/>
          <w:lang w:eastAsia="ru-RU"/>
        </w:rPr>
        <w:t>4. Искусство и ремесло</w:t>
      </w:r>
    </w:p>
    <w:p>
      <w:pPr>
        <w:spacing w:after="288" w:line="240" w:lineRule="auto"/>
        <w:jc w:val="both"/>
        <w:rPr>
          <w:rFonts w:ascii="Arial" w:hAnsi="Arial" w:eastAsia="Times New Roman" w:cs="Arial"/>
          <w:color w:val="3B3B3B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3B3B3B"/>
          <w:sz w:val="24"/>
          <w:szCs w:val="24"/>
          <w:lang w:eastAsia="ru-RU"/>
        </w:rPr>
        <w:t>Темы данного направления актуализируют представления выпускников о предназначении произведений искусства и мере таланта их создателей, дают возможность поразмышлять о миссии художника и его роли в обществе, о том, где заканчивается ремесло и начинается искусство.</w:t>
      </w:r>
      <w:r>
        <w:rPr>
          <w:rFonts w:ascii="Arial" w:hAnsi="Arial" w:eastAsia="Times New Roman" w:cs="Arial"/>
          <w:color w:val="3B3B3B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color w:val="3B3B3B"/>
          <w:sz w:val="24"/>
          <w:szCs w:val="24"/>
          <w:lang w:eastAsia="ru-RU"/>
        </w:rPr>
        <w:t>Литература постоянно обращается к осмыслению феномена творчества, изображению созидательного труда, помогает раскрыть внутренний мир персонажа через его отношение к искусству и ремеслу.</w:t>
      </w:r>
    </w:p>
    <w:p>
      <w:pPr>
        <w:spacing w:after="288" w:line="240" w:lineRule="auto"/>
        <w:rPr>
          <w:rFonts w:ascii="Arial" w:hAnsi="Arial" w:eastAsia="Times New Roman" w:cs="Arial"/>
          <w:color w:val="3B3B3B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color w:val="3B3B3B"/>
          <w:sz w:val="24"/>
          <w:szCs w:val="24"/>
          <w:lang w:eastAsia="ru-RU"/>
        </w:rPr>
        <w:t>5. Доброта и жестокость</w:t>
      </w:r>
    </w:p>
    <w:p>
      <w:pPr>
        <w:spacing w:after="288" w:line="240" w:lineRule="auto"/>
        <w:jc w:val="both"/>
        <w:rPr>
          <w:rFonts w:ascii="Arial" w:hAnsi="Arial" w:eastAsia="Times New Roman" w:cs="Arial"/>
          <w:color w:val="3B3B3B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3B3B3B"/>
          <w:sz w:val="24"/>
          <w:szCs w:val="24"/>
          <w:lang w:eastAsia="ru-RU"/>
        </w:rPr>
        <w:t>Данное направление нацеливает выпускников на раздумье о нравственных основах отношения к человеку и всему живому, позволяет размышлять, с одной стороны, о гуманистическом стремлении ценить и беречь жизнь, с другой – об антигуманном желании причинять страдание и боль другим и даже самому себе.</w:t>
      </w:r>
      <w:r>
        <w:rPr>
          <w:rFonts w:ascii="Arial" w:hAnsi="Arial" w:eastAsia="Times New Roman" w:cs="Arial"/>
          <w:color w:val="3B3B3B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color w:val="3B3B3B"/>
          <w:sz w:val="24"/>
          <w:szCs w:val="24"/>
          <w:lang w:eastAsia="ru-RU"/>
        </w:rPr>
        <w:t>Понятия «доброта» и «жестокость» принадлежат к «вечным» категориям, во многих произведениях литературы показаны персонажи, тяготеющие к одному из этих полюсов или проходящие путь нравственного перерождения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D02CC"/>
    <w:multiLevelType w:val="multilevel"/>
    <w:tmpl w:val="45CD02C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9C0"/>
    <w:rsid w:val="00195C76"/>
    <w:rsid w:val="00C449C0"/>
    <w:rsid w:val="1C51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513</Words>
  <Characters>2927</Characters>
  <Lines>24</Lines>
  <Paragraphs>6</Paragraphs>
  <TotalTime>1</TotalTime>
  <ScaleCrop>false</ScaleCrop>
  <LinksUpToDate>false</LinksUpToDate>
  <CharactersWithSpaces>3434</CharactersWithSpaces>
  <Application>WPS Office_10.2.0.7516_F1E327BC-269C-435d-A152-05C5408002CA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2018-10-21T17:22:00Z</dcterms:created>
  <dc:creator>сергей</dc:creator>
  <cp:lastModifiedBy>12</cp:lastModifiedBy>
  <dcterms:modified xsi:type="dcterms:W3CDTF">2018-10-22T16:56:52Z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1049-10.2.0.7516</vt:lpwstr>
  </property>
</Properties>
</file>